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Segoe UI" w:hAnsi="Segoe UI"/>
          <w:b/>
          <w:color w:val="0D1B2A"/>
          <w:sz w:val="44"/>
        </w:rPr>
        <w:t>АНАЛИЗ РАСХОДОВ ПО СЕРВИСНЫМ КОНТРАКТАМ</w:t>
      </w:r>
    </w:p>
    <w:p>
      <w:pPr>
        <w:spacing w:after="280"/>
        <w:jc w:val="center"/>
      </w:pPr>
      <w:r>
        <w:rPr>
          <w:rFonts w:ascii="Segoe UI" w:hAnsi="Segoe UI"/>
          <w:color w:val="78716C"/>
          <w:sz w:val="22"/>
        </w:rPr>
        <w:t>Детализация 2023 г. – 1-е полугодие 2026 г.  ·  103 позиции  ·  сумма в тенге (факт)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154"/>
            <w:shd w:fill="F0F4F8"/>
          </w:tcPr>
          <w:p>
            <w:pPr>
              <w:spacing w:after="40"/>
              <w:jc w:val="center"/>
            </w:pPr>
            <w:r>
              <w:rPr>
                <w:rFonts w:ascii="Segoe UI" w:hAnsi="Segoe UI"/>
                <w:b/>
                <w:color w:val="0D1B2A"/>
                <w:sz w:val="36"/>
              </w:rPr>
              <w:t>9.58 млрд тг</w:t>
            </w:r>
          </w:p>
          <w:p>
            <w:pPr>
              <w:spacing w:after="0"/>
              <w:jc w:val="center"/>
            </w:pPr>
            <w:r>
              <w:rPr>
                <w:rFonts w:ascii="Segoe UI" w:hAnsi="Segoe UI"/>
                <w:b/>
                <w:color w:val="0C0A09"/>
                <w:sz w:val="20"/>
              </w:rPr>
              <w:t>2023</w:t>
            </w:r>
          </w:p>
          <w:p>
            <w:pPr>
              <w:spacing w:after="40"/>
              <w:jc w:val="center"/>
            </w:pPr>
            <w:r>
              <w:rPr>
                <w:rFonts w:ascii="Segoe UI" w:hAnsi="Segoe UI"/>
                <w:color w:val="8899A6"/>
                <w:sz w:val="16"/>
              </w:rPr>
              <w:t>55 позиций</w:t>
            </w:r>
          </w:p>
        </w:tc>
        <w:tc>
          <w:tcPr>
            <w:tcW w:type="dxa" w:w="2154"/>
            <w:shd w:fill="F0F4F8"/>
          </w:tcPr>
          <w:p>
            <w:pPr>
              <w:spacing w:after="40"/>
              <w:jc w:val="center"/>
            </w:pPr>
            <w:r>
              <w:rPr>
                <w:rFonts w:ascii="Segoe UI" w:hAnsi="Segoe UI"/>
                <w:b/>
                <w:color w:val="C0392B"/>
                <w:sz w:val="36"/>
              </w:rPr>
              <w:t>10.83 млрд тг</w:t>
            </w:r>
          </w:p>
          <w:p>
            <w:pPr>
              <w:spacing w:after="0"/>
              <w:jc w:val="center"/>
            </w:pPr>
            <w:r>
              <w:rPr>
                <w:rFonts w:ascii="Segoe UI" w:hAnsi="Segoe UI"/>
                <w:b/>
                <w:color w:val="0C0A09"/>
                <w:sz w:val="20"/>
              </w:rPr>
              <w:t>2024</w:t>
            </w:r>
          </w:p>
          <w:p>
            <w:pPr>
              <w:spacing w:after="40"/>
              <w:jc w:val="center"/>
            </w:pPr>
            <w:r>
              <w:rPr>
                <w:rFonts w:ascii="Segoe UI" w:hAnsi="Segoe UI"/>
                <w:color w:val="8899A6"/>
                <w:sz w:val="16"/>
              </w:rPr>
              <w:t>54 позиции · пик</w:t>
            </w:r>
          </w:p>
        </w:tc>
        <w:tc>
          <w:tcPr>
            <w:tcW w:type="dxa" w:w="2154"/>
            <w:shd w:fill="F0F4F8"/>
          </w:tcPr>
          <w:p>
            <w:pPr>
              <w:spacing w:after="40"/>
              <w:jc w:val="center"/>
            </w:pPr>
            <w:r>
              <w:rPr>
                <w:rFonts w:ascii="Segoe UI" w:hAnsi="Segoe UI"/>
                <w:b/>
                <w:color w:val="0D1B2A"/>
                <w:sz w:val="36"/>
              </w:rPr>
              <w:t>8.35 млрд тг</w:t>
            </w:r>
          </w:p>
          <w:p>
            <w:pPr>
              <w:spacing w:after="0"/>
              <w:jc w:val="center"/>
            </w:pPr>
            <w:r>
              <w:rPr>
                <w:rFonts w:ascii="Segoe UI" w:hAnsi="Segoe UI"/>
                <w:b/>
                <w:color w:val="0C0A09"/>
                <w:sz w:val="20"/>
              </w:rPr>
              <w:t>2025</w:t>
            </w:r>
          </w:p>
          <w:p>
            <w:pPr>
              <w:spacing w:after="40"/>
              <w:jc w:val="center"/>
            </w:pPr>
            <w:r>
              <w:rPr>
                <w:rFonts w:ascii="Segoe UI" w:hAnsi="Segoe UI"/>
                <w:color w:val="8899A6"/>
                <w:sz w:val="16"/>
              </w:rPr>
              <w:t>45 позиций</w:t>
            </w:r>
          </w:p>
        </w:tc>
        <w:tc>
          <w:tcPr>
            <w:tcW w:type="dxa" w:w="2154"/>
            <w:shd w:fill="F0F4F8"/>
          </w:tcPr>
          <w:p>
            <w:pPr>
              <w:spacing w:after="40"/>
              <w:jc w:val="center"/>
            </w:pPr>
            <w:r>
              <w:rPr>
                <w:rFonts w:ascii="Segoe UI" w:hAnsi="Segoe UI"/>
                <w:b/>
                <w:color w:val="1A7F4B"/>
                <w:sz w:val="36"/>
              </w:rPr>
              <w:t>4.23 млрд тг</w:t>
            </w:r>
          </w:p>
          <w:p>
            <w:pPr>
              <w:spacing w:after="0"/>
              <w:jc w:val="center"/>
            </w:pPr>
            <w:r>
              <w:rPr>
                <w:rFonts w:ascii="Segoe UI" w:hAnsi="Segoe UI"/>
                <w:b/>
                <w:color w:val="0C0A09"/>
                <w:sz w:val="20"/>
              </w:rPr>
              <w:t>1пг 2026</w:t>
            </w:r>
          </w:p>
          <w:p>
            <w:pPr>
              <w:spacing w:after="40"/>
              <w:jc w:val="center"/>
            </w:pPr>
            <w:r>
              <w:rPr>
                <w:rFonts w:ascii="Segoe UI" w:hAnsi="Segoe UI"/>
                <w:color w:val="8899A6"/>
                <w:sz w:val="16"/>
              </w:rPr>
              <w:t>31 позиция</w:t>
            </w:r>
          </w:p>
        </w:tc>
      </w:tr>
    </w:tbl>
    <w:p/>
    <w:p>
      <w:pPr>
        <w:spacing w:before="120" w:after="120"/>
      </w:pPr>
      <w:r>
        <w:rPr>
          <w:rFonts w:ascii="Segoe UI" w:hAnsi="Segoe UI"/>
          <w:b/>
          <w:color w:val="0D1B2A"/>
          <w:sz w:val="28"/>
        </w:rPr>
        <w:t>1. Итоговый свод</w:t>
      </w:r>
    </w:p>
    <w:p>
      <w:pPr>
        <w:pStyle w:val="ListBullet"/>
        <w:spacing w:after="120"/>
      </w:pPr>
      <w:r>
        <w:rPr>
          <w:rFonts w:ascii="Segoe UI" w:hAnsi="Segoe UI"/>
          <w:b/>
          <w:color w:val="0C0A09"/>
          <w:sz w:val="21"/>
        </w:rPr>
        <w:t xml:space="preserve">Ключевой вывод </w:t>
      </w:r>
      <w:r>
        <w:rPr>
          <w:rFonts w:ascii="Segoe UI" w:hAnsi="Segoe UI"/>
          <w:color w:val="0C0A09"/>
          <w:sz w:val="21"/>
        </w:rPr>
        <w:t>Изменение 2024 → 2025: −2.48 млрд тг (-22.9 %) — это не экономия, а смена номенклатуры (FLM Expenses → FLM, Ericsson CS/5G part → общий договор, MS EA/COGS/G&amp;A).</w:t>
      </w:r>
    </w:p>
    <w:p>
      <w:pPr>
        <w:pStyle w:val="ListBullet"/>
        <w:spacing w:after="120"/>
      </w:pPr>
      <w:r>
        <w:rPr>
          <w:rFonts w:ascii="Segoe UI" w:hAnsi="Segoe UI"/>
          <w:b/>
          <w:color w:val="0C0A09"/>
          <w:sz w:val="21"/>
        </w:rPr>
        <w:t xml:space="preserve">Динамика </w:t>
      </w:r>
      <w:r>
        <w:rPr>
          <w:rFonts w:ascii="Segoe UI" w:hAnsi="Segoe UI"/>
          <w:color w:val="0C0A09"/>
          <w:sz w:val="21"/>
        </w:rPr>
        <w:t>2023 → 2024: рост на 1.25 млрд тг (+13.1 %) — пик расходов.</w:t>
      </w:r>
    </w:p>
    <w:p>
      <w:pPr>
        <w:pStyle w:val="ListBullet"/>
        <w:spacing w:after="120"/>
      </w:pPr>
      <w:r>
        <w:rPr>
          <w:rFonts w:ascii="Segoe UI" w:hAnsi="Segoe UI"/>
          <w:b/>
          <w:color w:val="0C0A09"/>
          <w:sz w:val="21"/>
        </w:rPr>
        <w:t xml:space="preserve">Прогноз 2026 </w:t>
      </w:r>
      <w:r>
        <w:rPr>
          <w:rFonts w:ascii="Segoe UI" w:hAnsi="Segoe UI"/>
          <w:color w:val="0C0A09"/>
          <w:sz w:val="21"/>
        </w:rPr>
        <w:t>Темп 1пг 2026 (4.23 млрд за полго­да), удвоенный на год ≈ 8.45 млрд — на уровне 2024.</w:t>
      </w:r>
    </w:p>
    <w:p>
      <w:pPr>
        <w:pStyle w:val="ListBullet"/>
        <w:spacing w:after="120"/>
      </w:pPr>
      <w:r>
        <w:rPr>
          <w:rFonts w:ascii="Segoe UI" w:hAnsi="Segoe UI"/>
          <w:b/>
          <w:color w:val="0C0A09"/>
          <w:sz w:val="21"/>
        </w:rPr>
        <w:t xml:space="preserve">Топ статей 2025 </w:t>
      </w:r>
      <w:r>
        <w:rPr>
          <w:rFonts w:ascii="Segoe UI" w:hAnsi="Segoe UI"/>
          <w:color w:val="0C0A09"/>
          <w:sz w:val="21"/>
        </w:rPr>
        <w:t>Структура 2025: FLM 3 232 млн · Ericsson 790 млн · MS EA 630 млн · MS EA COGS 513 млн · FLM Expenses 3 481 млн (2024) — крупнейшие статьи.</w:t>
      </w:r>
    </w:p>
    <w:p/>
    <w:p>
      <w:pPr>
        <w:spacing w:before="200"/>
      </w:pPr>
      <w:r>
        <w:rPr>
          <w:rFonts w:ascii="Segoe UI" w:hAnsi="Segoe UI"/>
          <w:b/>
          <w:color w:val="0D1B2A"/>
          <w:sz w:val="28"/>
        </w:rPr>
        <w:t>2. Отклонения 2025 vs 2024 (существующие статьи, |Δ| ≥ 50 млн тг)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  <w:shd w:fill="142433"/>
          </w:tcPr>
          <w:p>
            <w:pPr>
              <w:jc w:val="left"/>
            </w:pPr>
            <w:r>
              <w:rPr>
                <w:rFonts w:ascii="Segoe UI" w:hAnsi="Segoe UI"/>
                <w:b/>
                <w:color w:val="8899A6"/>
                <w:sz w:val="18"/>
              </w:rPr>
              <w:t>Позиция</w:t>
            </w:r>
          </w:p>
        </w:tc>
        <w:tc>
          <w:tcPr>
            <w:tcW w:type="dxa" w:w="2041"/>
            <w:shd w:fill="142433"/>
          </w:tcPr>
          <w:p>
            <w:pPr>
              <w:jc w:val="right"/>
            </w:pPr>
            <w:r>
              <w:rPr>
                <w:rFonts w:ascii="Segoe UI" w:hAnsi="Segoe UI"/>
                <w:b/>
                <w:color w:val="8899A6"/>
                <w:sz w:val="18"/>
              </w:rPr>
              <w:t>2024, млн тг</w:t>
            </w:r>
          </w:p>
        </w:tc>
        <w:tc>
          <w:tcPr>
            <w:tcW w:type="dxa" w:w="2041"/>
            <w:shd w:fill="142433"/>
          </w:tcPr>
          <w:p>
            <w:pPr>
              <w:jc w:val="right"/>
            </w:pPr>
            <w:r>
              <w:rPr>
                <w:rFonts w:ascii="Segoe UI" w:hAnsi="Segoe UI"/>
                <w:b/>
                <w:color w:val="8899A6"/>
                <w:sz w:val="18"/>
              </w:rPr>
              <w:t>2025, млн тг</w:t>
            </w:r>
          </w:p>
        </w:tc>
        <w:tc>
          <w:tcPr>
            <w:tcW w:type="dxa" w:w="2041"/>
            <w:shd w:fill="142433"/>
          </w:tcPr>
          <w:p>
            <w:pPr>
              <w:jc w:val="right"/>
            </w:pPr>
            <w:r>
              <w:rPr>
                <w:rFonts w:ascii="Segoe UI" w:hAnsi="Segoe UI"/>
                <w:b/>
                <w:color w:val="8899A6"/>
                <w:sz w:val="18"/>
              </w:rPr>
              <w:t>Δ, млн тг</w:t>
            </w:r>
          </w:p>
        </w:tc>
        <w:tc>
          <w:tcPr>
            <w:tcW w:type="dxa" w:w="2041"/>
            <w:shd w:fill="142433"/>
          </w:tcPr>
          <w:p>
            <w:pPr>
              <w:jc w:val="right"/>
            </w:pPr>
            <w:r>
              <w:rPr>
                <w:rFonts w:ascii="Segoe UI" w:hAnsi="Segoe UI"/>
                <w:b/>
                <w:color w:val="8899A6"/>
                <w:sz w:val="18"/>
              </w:rPr>
              <w:t>Δ %</w:t>
            </w:r>
          </w:p>
        </w:tc>
      </w:tr>
      <w:tr>
        <w:tc>
          <w:tcPr>
            <w:tcW w:type="dxa" w:w="2041"/>
            <w:shd w:fill="FFFFFF"/>
          </w:tcPr>
          <w:p>
            <w:r>
              <w:rPr>
                <w:rFonts w:ascii="Segoe UI" w:hAnsi="Segoe UI"/>
                <w:color w:val="0C0A09"/>
                <w:sz w:val="18"/>
              </w:rPr>
              <w:t>Техническая поддержка Ericsson (CS part)</w:t>
            </w:r>
          </w:p>
        </w:tc>
        <w:tc>
          <w:tcPr>
            <w:tcW w:type="dxa" w:w="2041"/>
            <w:shd w:fill="FFFFFF"/>
          </w:tcPr>
          <w:p>
            <w:pPr>
              <w:jc w:val="right"/>
            </w:pPr>
            <w:r>
              <w:rPr>
                <w:rFonts w:ascii="Segoe UI" w:hAnsi="Segoe UI"/>
                <w:sz w:val="18"/>
              </w:rPr>
              <w:t>963.8</w:t>
            </w:r>
          </w:p>
        </w:tc>
        <w:tc>
          <w:tcPr>
            <w:tcW w:type="dxa" w:w="2041"/>
            <w:shd w:fill="FFFFFF"/>
          </w:tcPr>
          <w:p>
            <w:pPr>
              <w:jc w:val="right"/>
            </w:pPr>
            <w:r>
              <w:rPr>
                <w:rFonts w:ascii="Segoe UI" w:hAnsi="Segoe UI"/>
                <w:sz w:val="18"/>
              </w:rPr>
              <w:t>268.9</w:t>
            </w:r>
          </w:p>
        </w:tc>
        <w:tc>
          <w:tcPr>
            <w:tcW w:type="dxa" w:w="2041"/>
            <w:shd w:fill="FFFFFF"/>
          </w:tcPr>
          <w:p>
            <w:pPr>
              <w:jc w:val="right"/>
            </w:pPr>
            <w:r>
              <w:rPr>
                <w:rFonts w:ascii="Segoe UI" w:hAnsi="Segoe UI"/>
                <w:b/>
                <w:color w:val="1A7F4B"/>
                <w:sz w:val="18"/>
              </w:rPr>
              <w:t>-694.9</w:t>
            </w:r>
          </w:p>
        </w:tc>
        <w:tc>
          <w:tcPr>
            <w:tcW w:type="dxa" w:w="2041"/>
            <w:shd w:fill="FFFFFF"/>
          </w:tcPr>
          <w:p>
            <w:pPr>
              <w:jc w:val="right"/>
            </w:pPr>
            <w:r>
              <w:rPr>
                <w:rFonts w:ascii="Segoe UI" w:hAnsi="Segoe UI"/>
                <w:b/>
                <w:color w:val="1A7F4B"/>
                <w:sz w:val="18"/>
              </w:rPr>
              <w:t>-72.1 %</w:t>
            </w:r>
          </w:p>
        </w:tc>
      </w:tr>
      <w:tr>
        <w:tc>
          <w:tcPr>
            <w:tcW w:type="dxa" w:w="2041"/>
            <w:shd w:fill="F0F4F8"/>
          </w:tcPr>
          <w:p>
            <w:r>
              <w:rPr>
                <w:rFonts w:ascii="Segoe UI" w:hAnsi="Segoe UI"/>
                <w:color w:val="0C0A09"/>
                <w:sz w:val="18"/>
              </w:rPr>
              <w:t>Техническая поддержка Ericsson (5G part)</w:t>
            </w:r>
          </w:p>
        </w:tc>
        <w:tc>
          <w:tcPr>
            <w:tcW w:type="dxa" w:w="2041"/>
            <w:shd w:fill="F0F4F8"/>
          </w:tcPr>
          <w:p>
            <w:pPr>
              <w:jc w:val="right"/>
            </w:pPr>
            <w:r>
              <w:rPr>
                <w:rFonts w:ascii="Segoe UI" w:hAnsi="Segoe UI"/>
                <w:sz w:val="18"/>
              </w:rPr>
              <w:t>308.1</w:t>
            </w:r>
          </w:p>
        </w:tc>
        <w:tc>
          <w:tcPr>
            <w:tcW w:type="dxa" w:w="2041"/>
            <w:shd w:fill="F0F4F8"/>
          </w:tcPr>
          <w:p>
            <w:pPr>
              <w:jc w:val="right"/>
            </w:pPr>
            <w:r>
              <w:rPr>
                <w:rFonts w:ascii="Segoe UI" w:hAnsi="Segoe UI"/>
                <w:sz w:val="18"/>
              </w:rPr>
              <w:t>134.5</w:t>
            </w:r>
          </w:p>
        </w:tc>
        <w:tc>
          <w:tcPr>
            <w:tcW w:type="dxa" w:w="2041"/>
            <w:shd w:fill="F0F4F8"/>
          </w:tcPr>
          <w:p>
            <w:pPr>
              <w:jc w:val="right"/>
            </w:pPr>
            <w:r>
              <w:rPr>
                <w:rFonts w:ascii="Segoe UI" w:hAnsi="Segoe UI"/>
                <w:b/>
                <w:color w:val="1A7F4B"/>
                <w:sz w:val="18"/>
              </w:rPr>
              <w:t>-173.6</w:t>
            </w:r>
          </w:p>
        </w:tc>
        <w:tc>
          <w:tcPr>
            <w:tcW w:type="dxa" w:w="2041"/>
            <w:shd w:fill="F0F4F8"/>
          </w:tcPr>
          <w:p>
            <w:pPr>
              <w:jc w:val="right"/>
            </w:pPr>
            <w:r>
              <w:rPr>
                <w:rFonts w:ascii="Segoe UI" w:hAnsi="Segoe UI"/>
                <w:b/>
                <w:color w:val="1A7F4B"/>
                <w:sz w:val="18"/>
              </w:rPr>
              <w:t>-56.4 %</w:t>
            </w:r>
          </w:p>
        </w:tc>
      </w:tr>
      <w:tr>
        <w:tc>
          <w:tcPr>
            <w:tcW w:type="dxa" w:w="2041"/>
            <w:shd w:fill="FFFFFF"/>
          </w:tcPr>
          <w:p>
            <w:r>
              <w:rPr>
                <w:rFonts w:ascii="Segoe UI" w:hAnsi="Segoe UI"/>
                <w:color w:val="0C0A09"/>
                <w:sz w:val="18"/>
              </w:rPr>
              <w:t>Техническая поддержка Oracle SW</w:t>
            </w:r>
          </w:p>
        </w:tc>
        <w:tc>
          <w:tcPr>
            <w:tcW w:type="dxa" w:w="2041"/>
            <w:shd w:fill="FFFFFF"/>
          </w:tcPr>
          <w:p>
            <w:pPr>
              <w:jc w:val="right"/>
            </w:pPr>
            <w:r>
              <w:rPr>
                <w:rFonts w:ascii="Segoe UI" w:hAnsi="Segoe UI"/>
                <w:sz w:val="18"/>
              </w:rPr>
              <w:t>544.5</w:t>
            </w:r>
          </w:p>
        </w:tc>
        <w:tc>
          <w:tcPr>
            <w:tcW w:type="dxa" w:w="2041"/>
            <w:shd w:fill="FFFFFF"/>
          </w:tcPr>
          <w:p>
            <w:pPr>
              <w:jc w:val="right"/>
            </w:pPr>
            <w:r>
              <w:rPr>
                <w:rFonts w:ascii="Segoe UI" w:hAnsi="Segoe UI"/>
                <w:sz w:val="18"/>
              </w:rPr>
              <w:t>644.0</w:t>
            </w:r>
          </w:p>
        </w:tc>
        <w:tc>
          <w:tcPr>
            <w:tcW w:type="dxa" w:w="2041"/>
            <w:shd w:fill="FFFFFF"/>
          </w:tcPr>
          <w:p>
            <w:pPr>
              <w:jc w:val="right"/>
            </w:pPr>
            <w:r>
              <w:rPr>
                <w:rFonts w:ascii="Segoe UI" w:hAnsi="Segoe UI"/>
                <w:b/>
                <w:color w:val="C0392B"/>
                <w:sz w:val="18"/>
              </w:rPr>
              <w:t>+99.5</w:t>
            </w:r>
          </w:p>
        </w:tc>
        <w:tc>
          <w:tcPr>
            <w:tcW w:type="dxa" w:w="2041"/>
            <w:shd w:fill="FFFFFF"/>
          </w:tcPr>
          <w:p>
            <w:pPr>
              <w:jc w:val="right"/>
            </w:pPr>
            <w:r>
              <w:rPr>
                <w:rFonts w:ascii="Segoe UI" w:hAnsi="Segoe UI"/>
                <w:b/>
                <w:color w:val="C0392B"/>
                <w:sz w:val="18"/>
              </w:rPr>
              <w:t>+18.3 %</w:t>
            </w:r>
          </w:p>
        </w:tc>
      </w:tr>
      <w:tr>
        <w:tc>
          <w:tcPr>
            <w:tcW w:type="dxa" w:w="2041"/>
            <w:shd w:fill="F0F4F8"/>
          </w:tcPr>
          <w:p>
            <w:r>
              <w:rPr>
                <w:rFonts w:ascii="Segoe UI" w:hAnsi="Segoe UI"/>
                <w:color w:val="0C0A09"/>
                <w:sz w:val="18"/>
              </w:rPr>
              <w:t>Техническая поддержка Nexign</w:t>
            </w:r>
          </w:p>
        </w:tc>
        <w:tc>
          <w:tcPr>
            <w:tcW w:type="dxa" w:w="2041"/>
            <w:shd w:fill="F0F4F8"/>
          </w:tcPr>
          <w:p>
            <w:pPr>
              <w:jc w:val="right"/>
            </w:pPr>
            <w:r>
              <w:rPr>
                <w:rFonts w:ascii="Segoe UI" w:hAnsi="Segoe UI"/>
                <w:sz w:val="18"/>
              </w:rPr>
              <w:t>1,357.2</w:t>
            </w:r>
          </w:p>
        </w:tc>
        <w:tc>
          <w:tcPr>
            <w:tcW w:type="dxa" w:w="2041"/>
            <w:shd w:fill="F0F4F8"/>
          </w:tcPr>
          <w:p>
            <w:pPr>
              <w:jc w:val="right"/>
            </w:pPr>
            <w:r>
              <w:rPr>
                <w:rFonts w:ascii="Segoe UI" w:hAnsi="Segoe UI"/>
                <w:sz w:val="18"/>
              </w:rPr>
              <w:t>1,260.3</w:t>
            </w:r>
          </w:p>
        </w:tc>
        <w:tc>
          <w:tcPr>
            <w:tcW w:type="dxa" w:w="2041"/>
            <w:shd w:fill="F0F4F8"/>
          </w:tcPr>
          <w:p>
            <w:pPr>
              <w:jc w:val="right"/>
            </w:pPr>
            <w:r>
              <w:rPr>
                <w:rFonts w:ascii="Segoe UI" w:hAnsi="Segoe UI"/>
                <w:b/>
                <w:color w:val="1A7F4B"/>
                <w:sz w:val="18"/>
              </w:rPr>
              <w:t>-96.8</w:t>
            </w:r>
          </w:p>
        </w:tc>
        <w:tc>
          <w:tcPr>
            <w:tcW w:type="dxa" w:w="2041"/>
            <w:shd w:fill="F0F4F8"/>
          </w:tcPr>
          <w:p>
            <w:pPr>
              <w:jc w:val="right"/>
            </w:pPr>
            <w:r>
              <w:rPr>
                <w:rFonts w:ascii="Segoe UI" w:hAnsi="Segoe UI"/>
                <w:b/>
                <w:color w:val="1A7F4B"/>
                <w:sz w:val="18"/>
              </w:rPr>
              <w:t>-7.1 %</w:t>
            </w:r>
          </w:p>
        </w:tc>
      </w:tr>
      <w:tr>
        <w:tc>
          <w:tcPr>
            <w:tcW w:type="dxa" w:w="2041"/>
            <w:shd w:fill="FFFFFF"/>
          </w:tcPr>
          <w:p>
            <w:r>
              <w:rPr>
                <w:rFonts w:ascii="Segoe UI" w:hAnsi="Segoe UI"/>
                <w:color w:val="0C0A09"/>
                <w:sz w:val="18"/>
              </w:rPr>
              <w:t>Техническая поддержка PCRF</w:t>
            </w:r>
          </w:p>
        </w:tc>
        <w:tc>
          <w:tcPr>
            <w:tcW w:type="dxa" w:w="2041"/>
            <w:shd w:fill="FFFFFF"/>
          </w:tcPr>
          <w:p>
            <w:pPr>
              <w:jc w:val="right"/>
            </w:pPr>
            <w:r>
              <w:rPr>
                <w:rFonts w:ascii="Segoe UI" w:hAnsi="Segoe UI"/>
                <w:sz w:val="18"/>
              </w:rPr>
              <w:t>34.9</w:t>
            </w:r>
          </w:p>
        </w:tc>
        <w:tc>
          <w:tcPr>
            <w:tcW w:type="dxa" w:w="2041"/>
            <w:shd w:fill="FFFFFF"/>
          </w:tcPr>
          <w:p>
            <w:pPr>
              <w:jc w:val="right"/>
            </w:pPr>
            <w:r>
              <w:rPr>
                <w:rFonts w:ascii="Segoe UI" w:hAnsi="Segoe UI"/>
                <w:sz w:val="18"/>
              </w:rPr>
              <w:t>110.3</w:t>
            </w:r>
          </w:p>
        </w:tc>
        <w:tc>
          <w:tcPr>
            <w:tcW w:type="dxa" w:w="2041"/>
            <w:shd w:fill="FFFFFF"/>
          </w:tcPr>
          <w:p>
            <w:pPr>
              <w:jc w:val="right"/>
            </w:pPr>
            <w:r>
              <w:rPr>
                <w:rFonts w:ascii="Segoe UI" w:hAnsi="Segoe UI"/>
                <w:b/>
                <w:color w:val="C0392B"/>
                <w:sz w:val="18"/>
              </w:rPr>
              <w:t>+75.4</w:t>
            </w:r>
          </w:p>
        </w:tc>
        <w:tc>
          <w:tcPr>
            <w:tcW w:type="dxa" w:w="2041"/>
            <w:shd w:fill="FFFFFF"/>
          </w:tcPr>
          <w:p>
            <w:pPr>
              <w:jc w:val="right"/>
            </w:pPr>
            <w:r>
              <w:rPr>
                <w:rFonts w:ascii="Segoe UI" w:hAnsi="Segoe UI"/>
                <w:b/>
                <w:color w:val="C0392B"/>
                <w:sz w:val="18"/>
              </w:rPr>
              <w:t>+216.4 %</w:t>
            </w:r>
          </w:p>
        </w:tc>
      </w:tr>
      <w:tr>
        <w:tc>
          <w:tcPr>
            <w:tcW w:type="dxa" w:w="2041"/>
            <w:shd w:fill="F0F4F8"/>
          </w:tcPr>
          <w:p>
            <w:r>
              <w:rPr>
                <w:rFonts w:ascii="Segoe UI" w:hAnsi="Segoe UI"/>
                <w:color w:val="0C0A09"/>
                <w:sz w:val="18"/>
              </w:rPr>
              <w:t>Доступ к обработке информации облачной системы Aitu Passport – интернет-ресурс (УЦ удостоверяющий центр) и облачный сервис подписания документов на 2 500 000 (два миллиона пятьсот тысяч) транзакций</w:t>
            </w:r>
          </w:p>
        </w:tc>
        <w:tc>
          <w:tcPr>
            <w:tcW w:type="dxa" w:w="2041"/>
            <w:shd w:fill="F0F4F8"/>
          </w:tcPr>
          <w:p>
            <w:pPr>
              <w:jc w:val="right"/>
            </w:pPr>
            <w:r>
              <w:rPr>
                <w:rFonts w:ascii="Segoe UI" w:hAnsi="Segoe UI"/>
                <w:sz w:val="18"/>
              </w:rPr>
              <w:t>87.5</w:t>
            </w:r>
          </w:p>
        </w:tc>
        <w:tc>
          <w:tcPr>
            <w:tcW w:type="dxa" w:w="2041"/>
            <w:shd w:fill="F0F4F8"/>
          </w:tcPr>
          <w:p>
            <w:pPr>
              <w:jc w:val="right"/>
            </w:pPr>
            <w:r>
              <w:rPr>
                <w:rFonts w:ascii="Segoe UI" w:hAnsi="Segoe UI"/>
                <w:sz w:val="18"/>
              </w:rPr>
              <w:t>160.4</w:t>
            </w:r>
          </w:p>
        </w:tc>
        <w:tc>
          <w:tcPr>
            <w:tcW w:type="dxa" w:w="2041"/>
            <w:shd w:fill="F0F4F8"/>
          </w:tcPr>
          <w:p>
            <w:pPr>
              <w:jc w:val="right"/>
            </w:pPr>
            <w:r>
              <w:rPr>
                <w:rFonts w:ascii="Segoe UI" w:hAnsi="Segoe UI"/>
                <w:b/>
                <w:color w:val="C0392B"/>
                <w:sz w:val="18"/>
              </w:rPr>
              <w:t>+72.9</w:t>
            </w:r>
          </w:p>
        </w:tc>
        <w:tc>
          <w:tcPr>
            <w:tcW w:type="dxa" w:w="2041"/>
            <w:shd w:fill="F0F4F8"/>
          </w:tcPr>
          <w:p>
            <w:pPr>
              <w:jc w:val="right"/>
            </w:pPr>
            <w:r>
              <w:rPr>
                <w:rFonts w:ascii="Segoe UI" w:hAnsi="Segoe UI"/>
                <w:b/>
                <w:color w:val="C0392B"/>
                <w:sz w:val="18"/>
              </w:rPr>
              <w:t>+83.3 %</w:t>
            </w:r>
          </w:p>
        </w:tc>
      </w:tr>
      <w:tr>
        <w:tc>
          <w:tcPr>
            <w:tcW w:type="dxa" w:w="2041"/>
            <w:shd w:fill="FFFFFF"/>
          </w:tcPr>
          <w:p>
            <w:r>
              <w:rPr>
                <w:rFonts w:ascii="Segoe UI" w:hAnsi="Segoe UI"/>
                <w:color w:val="0C0A09"/>
                <w:sz w:val="18"/>
              </w:rPr>
              <w:t>Техническая поддержка сервиса для роботизации службы поддержки и баз знаний с искусственным интеллектом.</w:t>
            </w:r>
          </w:p>
        </w:tc>
        <w:tc>
          <w:tcPr>
            <w:tcW w:type="dxa" w:w="2041"/>
            <w:shd w:fill="FFFFFF"/>
          </w:tcPr>
          <w:p>
            <w:pPr>
              <w:jc w:val="right"/>
            </w:pPr>
            <w:r>
              <w:rPr>
                <w:rFonts w:ascii="Segoe UI" w:hAnsi="Segoe UI"/>
                <w:sz w:val="18"/>
              </w:rPr>
              <w:t>18.6</w:t>
            </w:r>
          </w:p>
        </w:tc>
        <w:tc>
          <w:tcPr>
            <w:tcW w:type="dxa" w:w="2041"/>
            <w:shd w:fill="FFFFFF"/>
          </w:tcPr>
          <w:p>
            <w:pPr>
              <w:jc w:val="right"/>
            </w:pPr>
            <w:r>
              <w:rPr>
                <w:rFonts w:ascii="Segoe UI" w:hAnsi="Segoe UI"/>
                <w:sz w:val="18"/>
              </w:rPr>
              <w:t>75.0</w:t>
            </w:r>
          </w:p>
        </w:tc>
        <w:tc>
          <w:tcPr>
            <w:tcW w:type="dxa" w:w="2041"/>
            <w:shd w:fill="FFFFFF"/>
          </w:tcPr>
          <w:p>
            <w:pPr>
              <w:jc w:val="right"/>
            </w:pPr>
            <w:r>
              <w:rPr>
                <w:rFonts w:ascii="Segoe UI" w:hAnsi="Segoe UI"/>
                <w:b/>
                <w:color w:val="C0392B"/>
                <w:sz w:val="18"/>
              </w:rPr>
              <w:t>+56.4</w:t>
            </w:r>
          </w:p>
        </w:tc>
        <w:tc>
          <w:tcPr>
            <w:tcW w:type="dxa" w:w="2041"/>
            <w:shd w:fill="FFFFFF"/>
          </w:tcPr>
          <w:p>
            <w:pPr>
              <w:jc w:val="right"/>
            </w:pPr>
            <w:r>
              <w:rPr>
                <w:rFonts w:ascii="Segoe UI" w:hAnsi="Segoe UI"/>
                <w:b/>
                <w:color w:val="C0392B"/>
                <w:sz w:val="18"/>
              </w:rPr>
              <w:t>+302.4 %</w:t>
            </w:r>
          </w:p>
        </w:tc>
      </w:tr>
      <w:tr>
        <w:tc>
          <w:tcPr>
            <w:tcW w:type="dxa" w:w="2041"/>
            <w:shd w:fill="F0F4F8"/>
          </w:tcPr>
          <w:p>
            <w:r>
              <w:rPr>
                <w:rFonts w:ascii="Segoe UI" w:hAnsi="Segoe UI"/>
                <w:color w:val="0C0A09"/>
                <w:sz w:val="18"/>
              </w:rPr>
              <w:t>Техническая поддержка Oracle HW</w:t>
            </w:r>
          </w:p>
        </w:tc>
        <w:tc>
          <w:tcPr>
            <w:tcW w:type="dxa" w:w="2041"/>
            <w:shd w:fill="F0F4F8"/>
          </w:tcPr>
          <w:p>
            <w:pPr>
              <w:jc w:val="right"/>
            </w:pPr>
            <w:r>
              <w:rPr>
                <w:rFonts w:ascii="Segoe UI" w:hAnsi="Segoe UI"/>
                <w:sz w:val="18"/>
              </w:rPr>
              <w:t>129.8</w:t>
            </w:r>
          </w:p>
        </w:tc>
        <w:tc>
          <w:tcPr>
            <w:tcW w:type="dxa" w:w="2041"/>
            <w:shd w:fill="F0F4F8"/>
          </w:tcPr>
          <w:p>
            <w:pPr>
              <w:jc w:val="right"/>
            </w:pPr>
            <w:r>
              <w:rPr>
                <w:rFonts w:ascii="Segoe UI" w:hAnsi="Segoe UI"/>
                <w:sz w:val="18"/>
              </w:rPr>
              <w:t>73.5</w:t>
            </w:r>
          </w:p>
        </w:tc>
        <w:tc>
          <w:tcPr>
            <w:tcW w:type="dxa" w:w="2041"/>
            <w:shd w:fill="F0F4F8"/>
          </w:tcPr>
          <w:p>
            <w:pPr>
              <w:jc w:val="right"/>
            </w:pPr>
            <w:r>
              <w:rPr>
                <w:rFonts w:ascii="Segoe UI" w:hAnsi="Segoe UI"/>
                <w:b/>
                <w:color w:val="1A7F4B"/>
                <w:sz w:val="18"/>
              </w:rPr>
              <w:t>-56.3</w:t>
            </w:r>
          </w:p>
        </w:tc>
        <w:tc>
          <w:tcPr>
            <w:tcW w:type="dxa" w:w="2041"/>
            <w:shd w:fill="F0F4F8"/>
          </w:tcPr>
          <w:p>
            <w:pPr>
              <w:jc w:val="right"/>
            </w:pPr>
            <w:r>
              <w:rPr>
                <w:rFonts w:ascii="Segoe UI" w:hAnsi="Segoe UI"/>
                <w:b/>
                <w:color w:val="1A7F4B"/>
                <w:sz w:val="18"/>
              </w:rPr>
              <w:t>-43.4 %</w:t>
            </w:r>
          </w:p>
        </w:tc>
      </w:tr>
    </w:tbl>
    <w:p>
      <w:pPr>
        <w:spacing w:before="80"/>
      </w:pPr>
      <w:r>
        <w:rPr>
          <w:rFonts w:ascii="Segoe UI" w:hAnsi="Segoe UI"/>
          <w:i/>
          <w:color w:val="8899A6"/>
          <w:sz w:val="16"/>
        </w:rPr>
        <w:t>Красное — рост относительно 2024, зелёное — снижение. Полный список — лист «Детализация» в Excel-отчёте.</w:t>
      </w:r>
    </w:p>
    <w:p/>
    <w:p>
      <w:pPr>
        <w:spacing w:before="200"/>
      </w:pPr>
      <w:r>
        <w:rPr>
          <w:rFonts w:ascii="Segoe UI" w:hAnsi="Segoe UI"/>
          <w:b/>
          <w:color w:val="0D1B2A"/>
          <w:sz w:val="28"/>
        </w:rPr>
        <w:t>3. 1-е полугодие 2026: существующие статьи (|Δ| ≥ 50 млн тг, к темпу 2025)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  <w:shd w:fill="142433"/>
          </w:tcPr>
          <w:p>
            <w:pPr>
              <w:jc w:val="left"/>
            </w:pPr>
            <w:r>
              <w:rPr>
                <w:rFonts w:ascii="Segoe UI" w:hAnsi="Segoe UI"/>
                <w:b/>
                <w:color w:val="8899A6"/>
                <w:sz w:val="18"/>
              </w:rPr>
              <w:t>Позиция</w:t>
            </w:r>
          </w:p>
        </w:tc>
        <w:tc>
          <w:tcPr>
            <w:tcW w:type="dxa" w:w="2041"/>
            <w:shd w:fill="142433"/>
          </w:tcPr>
          <w:p>
            <w:pPr>
              <w:jc w:val="right"/>
            </w:pPr>
            <w:r>
              <w:rPr>
                <w:rFonts w:ascii="Segoe UI" w:hAnsi="Segoe UI"/>
                <w:b/>
                <w:color w:val="8899A6"/>
                <w:sz w:val="18"/>
              </w:rPr>
              <w:t>Темп 1пг 2025, млн</w:t>
            </w:r>
          </w:p>
        </w:tc>
        <w:tc>
          <w:tcPr>
            <w:tcW w:type="dxa" w:w="2041"/>
            <w:shd w:fill="142433"/>
          </w:tcPr>
          <w:p>
            <w:pPr>
              <w:jc w:val="right"/>
            </w:pPr>
            <w:r>
              <w:rPr>
                <w:rFonts w:ascii="Segoe UI" w:hAnsi="Segoe UI"/>
                <w:b/>
                <w:color w:val="8899A6"/>
                <w:sz w:val="18"/>
              </w:rPr>
              <w:t>1пг 2026, млн</w:t>
            </w:r>
          </w:p>
        </w:tc>
        <w:tc>
          <w:tcPr>
            <w:tcW w:type="dxa" w:w="2041"/>
            <w:shd w:fill="142433"/>
          </w:tcPr>
          <w:p>
            <w:pPr>
              <w:jc w:val="right"/>
            </w:pPr>
            <w:r>
              <w:rPr>
                <w:rFonts w:ascii="Segoe UI" w:hAnsi="Segoe UI"/>
                <w:b/>
                <w:color w:val="8899A6"/>
                <w:sz w:val="18"/>
              </w:rPr>
              <w:t>Δ, млн тг</w:t>
            </w:r>
          </w:p>
        </w:tc>
        <w:tc>
          <w:tcPr>
            <w:tcW w:type="dxa" w:w="2041"/>
            <w:shd w:fill="142433"/>
          </w:tcPr>
          <w:p>
            <w:pPr>
              <w:jc w:val="right"/>
            </w:pPr>
            <w:r>
              <w:rPr>
                <w:rFonts w:ascii="Segoe UI" w:hAnsi="Segoe UI"/>
                <w:b/>
                <w:color w:val="8899A6"/>
                <w:sz w:val="18"/>
              </w:rPr>
              <w:t>Δ %</w:t>
            </w:r>
          </w:p>
        </w:tc>
      </w:tr>
      <w:tr>
        <w:tc>
          <w:tcPr>
            <w:tcW w:type="dxa" w:w="2041"/>
            <w:shd w:fill="FFFFFF"/>
          </w:tcPr>
          <w:p>
            <w:r>
              <w:rPr>
                <w:rFonts w:ascii="Segoe UI" w:hAnsi="Segoe UI"/>
                <w:color w:val="0C0A09"/>
                <w:sz w:val="18"/>
              </w:rPr>
              <w:t>Серверные лицензии MS EA</w:t>
            </w:r>
          </w:p>
        </w:tc>
        <w:tc>
          <w:tcPr>
            <w:tcW w:type="dxa" w:w="2041"/>
            <w:shd w:fill="FFFFFF"/>
          </w:tcPr>
          <w:p>
            <w:pPr>
              <w:jc w:val="right"/>
            </w:pPr>
            <w:r>
              <w:rPr>
                <w:rFonts w:ascii="Segoe UI" w:hAnsi="Segoe UI"/>
                <w:sz w:val="18"/>
              </w:rPr>
              <w:t>315.1</w:t>
            </w:r>
          </w:p>
        </w:tc>
        <w:tc>
          <w:tcPr>
            <w:tcW w:type="dxa" w:w="2041"/>
            <w:shd w:fill="FFFFFF"/>
          </w:tcPr>
          <w:p>
            <w:pPr>
              <w:jc w:val="right"/>
            </w:pPr>
            <w:r>
              <w:rPr>
                <w:rFonts w:ascii="Segoe UI" w:hAnsi="Segoe UI"/>
                <w:sz w:val="18"/>
              </w:rPr>
              <w:t>630.2</w:t>
            </w:r>
          </w:p>
        </w:tc>
        <w:tc>
          <w:tcPr>
            <w:tcW w:type="dxa" w:w="2041"/>
            <w:shd w:fill="FFFFFF"/>
          </w:tcPr>
          <w:p>
            <w:pPr>
              <w:jc w:val="right"/>
            </w:pPr>
            <w:r>
              <w:rPr>
                <w:rFonts w:ascii="Segoe UI" w:hAnsi="Segoe UI"/>
                <w:b/>
                <w:color w:val="C0392B"/>
                <w:sz w:val="18"/>
              </w:rPr>
              <w:t>+315.1</w:t>
            </w:r>
          </w:p>
        </w:tc>
        <w:tc>
          <w:tcPr>
            <w:tcW w:type="dxa" w:w="2041"/>
            <w:shd w:fill="FFFFFF"/>
          </w:tcPr>
          <w:p>
            <w:pPr>
              <w:jc w:val="right"/>
            </w:pPr>
            <w:r>
              <w:rPr>
                <w:rFonts w:ascii="Segoe UI" w:hAnsi="Segoe UI"/>
                <w:b/>
                <w:color w:val="C0392B"/>
                <w:sz w:val="18"/>
              </w:rPr>
              <w:t>+100.0 %</w:t>
            </w:r>
          </w:p>
        </w:tc>
      </w:tr>
      <w:tr>
        <w:tc>
          <w:tcPr>
            <w:tcW w:type="dxa" w:w="2041"/>
            <w:shd w:fill="F0F4F8"/>
          </w:tcPr>
          <w:p>
            <w:r>
              <w:rPr>
                <w:rFonts w:ascii="Segoe UI" w:hAnsi="Segoe UI"/>
                <w:color w:val="0C0A09"/>
                <w:sz w:val="18"/>
              </w:rPr>
              <w:t>Техническая поддержка Huawei</w:t>
            </w:r>
          </w:p>
        </w:tc>
        <w:tc>
          <w:tcPr>
            <w:tcW w:type="dxa" w:w="2041"/>
            <w:shd w:fill="F0F4F8"/>
          </w:tcPr>
          <w:p>
            <w:pPr>
              <w:jc w:val="right"/>
            </w:pPr>
            <w:r>
              <w:rPr>
                <w:rFonts w:ascii="Segoe UI" w:hAnsi="Segoe UI"/>
                <w:sz w:val="18"/>
              </w:rPr>
              <w:t>53.7</w:t>
            </w:r>
          </w:p>
        </w:tc>
        <w:tc>
          <w:tcPr>
            <w:tcW w:type="dxa" w:w="2041"/>
            <w:shd w:fill="F0F4F8"/>
          </w:tcPr>
          <w:p>
            <w:pPr>
              <w:jc w:val="right"/>
            </w:pPr>
            <w:r>
              <w:rPr>
                <w:rFonts w:ascii="Segoe UI" w:hAnsi="Segoe UI"/>
                <w:sz w:val="18"/>
              </w:rPr>
              <w:t>171.5</w:t>
            </w:r>
          </w:p>
        </w:tc>
        <w:tc>
          <w:tcPr>
            <w:tcW w:type="dxa" w:w="2041"/>
            <w:shd w:fill="F0F4F8"/>
          </w:tcPr>
          <w:p>
            <w:pPr>
              <w:jc w:val="right"/>
            </w:pPr>
            <w:r>
              <w:rPr>
                <w:rFonts w:ascii="Segoe UI" w:hAnsi="Segoe UI"/>
                <w:b/>
                <w:color w:val="C0392B"/>
                <w:sz w:val="18"/>
              </w:rPr>
              <w:t>+117.8</w:t>
            </w:r>
          </w:p>
        </w:tc>
        <w:tc>
          <w:tcPr>
            <w:tcW w:type="dxa" w:w="2041"/>
            <w:shd w:fill="F0F4F8"/>
          </w:tcPr>
          <w:p>
            <w:pPr>
              <w:jc w:val="right"/>
            </w:pPr>
            <w:r>
              <w:rPr>
                <w:rFonts w:ascii="Segoe UI" w:hAnsi="Segoe UI"/>
                <w:b/>
                <w:color w:val="C0392B"/>
                <w:sz w:val="18"/>
              </w:rPr>
              <w:t>+219.5 %</w:t>
            </w:r>
          </w:p>
        </w:tc>
      </w:tr>
      <w:tr>
        <w:tc>
          <w:tcPr>
            <w:tcW w:type="dxa" w:w="2041"/>
            <w:shd w:fill="FFFFFF"/>
          </w:tcPr>
          <w:p>
            <w:r>
              <w:rPr>
                <w:rFonts w:ascii="Segoe UI" w:hAnsi="Segoe UI"/>
                <w:color w:val="0C0A09"/>
                <w:sz w:val="18"/>
              </w:rPr>
              <w:t>Техническая поддержка Checkpoint уровня Diamont</w:t>
            </w:r>
          </w:p>
        </w:tc>
        <w:tc>
          <w:tcPr>
            <w:tcW w:type="dxa" w:w="2041"/>
            <w:shd w:fill="FFFFFF"/>
          </w:tcPr>
          <w:p>
            <w:pPr>
              <w:jc w:val="right"/>
            </w:pPr>
            <w:r>
              <w:rPr>
                <w:rFonts w:ascii="Segoe UI" w:hAnsi="Segoe UI"/>
                <w:sz w:val="18"/>
              </w:rPr>
              <w:t>36.5</w:t>
            </w:r>
          </w:p>
        </w:tc>
        <w:tc>
          <w:tcPr>
            <w:tcW w:type="dxa" w:w="2041"/>
            <w:shd w:fill="FFFFFF"/>
          </w:tcPr>
          <w:p>
            <w:pPr>
              <w:jc w:val="right"/>
            </w:pPr>
            <w:r>
              <w:rPr>
                <w:rFonts w:ascii="Segoe UI" w:hAnsi="Segoe UI"/>
                <w:sz w:val="18"/>
              </w:rPr>
              <w:t>101.4</w:t>
            </w:r>
          </w:p>
        </w:tc>
        <w:tc>
          <w:tcPr>
            <w:tcW w:type="dxa" w:w="2041"/>
            <w:shd w:fill="FFFFFF"/>
          </w:tcPr>
          <w:p>
            <w:pPr>
              <w:jc w:val="right"/>
            </w:pPr>
            <w:r>
              <w:rPr>
                <w:rFonts w:ascii="Segoe UI" w:hAnsi="Segoe UI"/>
                <w:b/>
                <w:color w:val="C0392B"/>
                <w:sz w:val="18"/>
              </w:rPr>
              <w:t>+64.9</w:t>
            </w:r>
          </w:p>
        </w:tc>
        <w:tc>
          <w:tcPr>
            <w:tcW w:type="dxa" w:w="2041"/>
            <w:shd w:fill="FFFFFF"/>
          </w:tcPr>
          <w:p>
            <w:pPr>
              <w:jc w:val="right"/>
            </w:pPr>
            <w:r>
              <w:rPr>
                <w:rFonts w:ascii="Segoe UI" w:hAnsi="Segoe UI"/>
                <w:b/>
                <w:color w:val="C0392B"/>
                <w:sz w:val="18"/>
              </w:rPr>
              <w:t>+177.6 %</w:t>
            </w:r>
          </w:p>
        </w:tc>
      </w:tr>
      <w:tr>
        <w:tc>
          <w:tcPr>
            <w:tcW w:type="dxa" w:w="2041"/>
            <w:shd w:fill="F0F4F8"/>
          </w:tcPr>
          <w:p>
            <w:r>
              <w:rPr>
                <w:rFonts w:ascii="Segoe UI" w:hAnsi="Segoe UI"/>
                <w:color w:val="0C0A09"/>
                <w:sz w:val="18"/>
              </w:rPr>
              <w:t>Техническая поддержка Nexign</w:t>
            </w:r>
          </w:p>
        </w:tc>
        <w:tc>
          <w:tcPr>
            <w:tcW w:type="dxa" w:w="2041"/>
            <w:shd w:fill="F0F4F8"/>
          </w:tcPr>
          <w:p>
            <w:pPr>
              <w:jc w:val="right"/>
            </w:pPr>
            <w:r>
              <w:rPr>
                <w:rFonts w:ascii="Segoe UI" w:hAnsi="Segoe UI"/>
                <w:sz w:val="18"/>
              </w:rPr>
              <w:t>630.2</w:t>
            </w:r>
          </w:p>
        </w:tc>
        <w:tc>
          <w:tcPr>
            <w:tcW w:type="dxa" w:w="2041"/>
            <w:shd w:fill="F0F4F8"/>
          </w:tcPr>
          <w:p>
            <w:pPr>
              <w:jc w:val="right"/>
            </w:pPr>
            <w:r>
              <w:rPr>
                <w:rFonts w:ascii="Segoe UI" w:hAnsi="Segoe UI"/>
                <w:sz w:val="18"/>
              </w:rPr>
              <w:t>686.3</w:t>
            </w:r>
          </w:p>
        </w:tc>
        <w:tc>
          <w:tcPr>
            <w:tcW w:type="dxa" w:w="2041"/>
            <w:shd w:fill="F0F4F8"/>
          </w:tcPr>
          <w:p>
            <w:pPr>
              <w:jc w:val="right"/>
            </w:pPr>
            <w:r>
              <w:rPr>
                <w:rFonts w:ascii="Segoe UI" w:hAnsi="Segoe UI"/>
                <w:b/>
                <w:color w:val="C0392B"/>
                <w:sz w:val="18"/>
              </w:rPr>
              <w:t>+56.1</w:t>
            </w:r>
          </w:p>
        </w:tc>
        <w:tc>
          <w:tcPr>
            <w:tcW w:type="dxa" w:w="2041"/>
            <w:shd w:fill="F0F4F8"/>
          </w:tcPr>
          <w:p>
            <w:pPr>
              <w:jc w:val="right"/>
            </w:pPr>
            <w:r>
              <w:rPr>
                <w:rFonts w:ascii="Segoe UI" w:hAnsi="Segoe UI"/>
                <w:b/>
                <w:color w:val="C0392B"/>
                <w:sz w:val="18"/>
              </w:rPr>
              <w:t>+8.9 %</w:t>
            </w:r>
          </w:p>
        </w:tc>
      </w:tr>
    </w:tbl>
    <w:p>
      <w:pPr>
        <w:spacing w:before="80"/>
      </w:pPr>
      <w:r>
        <w:rPr>
          <w:rFonts w:ascii="Segoe UI" w:hAnsi="Segoe UI"/>
          <w:i/>
          <w:color w:val="8899A6"/>
          <w:sz w:val="16"/>
        </w:rPr>
        <w:t>«Темп 1пг 2025» = факт 2025 / 2 (ориентир при равномерном распределении). Красное — рост, зелёное — снижение.</w:t>
      </w:r>
    </w:p>
    <w:p/>
    <w:p>
      <w:pPr>
        <w:spacing w:before="200"/>
      </w:pPr>
      <w:r>
        <w:rPr>
          <w:rFonts w:ascii="Segoe UI" w:hAnsi="Segoe UI"/>
          <w:b/>
          <w:color w:val="0D1B2A"/>
          <w:sz w:val="28"/>
        </w:rPr>
        <w:t>4. Смена номенклатуры: что появилось / исчезло в 2025</w:t>
      </w:r>
    </w:p>
    <w:p>
      <w:pPr>
        <w:spacing w:before="120" w:after="80"/>
      </w:pPr>
      <w:r>
        <w:rPr>
          <w:rFonts w:ascii="Segoe UI" w:hAnsi="Segoe UI"/>
          <w:b/>
          <w:color w:val="1B4F72"/>
          <w:sz w:val="22"/>
        </w:rPr>
        <w:t>Появились в 2025 (нет в 2024): 19 шт.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  <w:shd w:fill="F0F4F8"/>
          </w:tcPr>
          <w:p>
            <w:pPr>
              <w:jc w:val="left"/>
            </w:pPr>
            <w:r>
              <w:rPr>
                <w:rFonts w:ascii="Segoe UI" w:hAnsi="Segoe UI"/>
                <w:b/>
                <w:color w:val="8899A6"/>
                <w:sz w:val="16"/>
              </w:rPr>
              <w:t>Позиция</w:t>
            </w:r>
          </w:p>
        </w:tc>
        <w:tc>
          <w:tcPr>
            <w:tcW w:type="dxa" w:w="3402"/>
            <w:shd w:fill="F0F4F8"/>
          </w:tcPr>
          <w:p>
            <w:pPr>
              <w:jc w:val="right"/>
            </w:pPr>
            <w:r>
              <w:rPr>
                <w:rFonts w:ascii="Segoe UI" w:hAnsi="Segoe UI"/>
                <w:b/>
                <w:color w:val="8899A6"/>
                <w:sz w:val="16"/>
              </w:rPr>
              <w:t>y2025, млн тг</w:t>
            </w:r>
          </w:p>
        </w:tc>
        <w:tc>
          <w:tcPr>
            <w:tcW w:type="dxa" w:w="3402"/>
            <w:shd w:fill="F0F4F8"/>
          </w:tcPr>
          <w:p>
            <w:pPr>
              <w:jc w:val="left"/>
            </w:pPr>
            <w:r>
              <w:rPr>
                <w:rFonts w:ascii="Segoe UI" w:hAnsi="Segoe UI"/>
                <w:b/>
                <w:color w:val="8899A6"/>
                <w:sz w:val="16"/>
              </w:rPr>
              <w:t>Коммент</w:t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Техническая поддержка Ericsson</w:t>
            </w:r>
          </w:p>
        </w:tc>
        <w:tc>
          <w:tcPr>
            <w:tcW w:type="dxa" w:w="3402"/>
          </w:tcPr>
          <w:p>
            <w:pPr>
              <w:jc w:val="right"/>
            </w:pPr>
            <w:r>
              <w:rPr>
                <w:sz w:val="16"/>
              </w:rPr>
              <w:t>1,057.0</w:t>
            </w:r>
          </w:p>
        </w:tc>
        <w:tc>
          <w:tcPr>
            <w:tcW w:type="dxa" w:w="340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Серверные лицензии MS EA</w:t>
            </w:r>
          </w:p>
        </w:tc>
        <w:tc>
          <w:tcPr>
            <w:tcW w:type="dxa" w:w="3402"/>
          </w:tcPr>
          <w:p>
            <w:pPr>
              <w:jc w:val="right"/>
            </w:pPr>
            <w:r>
              <w:rPr>
                <w:sz w:val="16"/>
              </w:rPr>
              <w:t>630.2</w:t>
            </w:r>
          </w:p>
        </w:tc>
        <w:tc>
          <w:tcPr>
            <w:tcW w:type="dxa" w:w="340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Серверные лицензии MS EA / 3 транш / COGS</w:t>
            </w:r>
          </w:p>
        </w:tc>
        <w:tc>
          <w:tcPr>
            <w:tcW w:type="dxa" w:w="3402"/>
          </w:tcPr>
          <w:p>
            <w:pPr>
              <w:jc w:val="right"/>
            </w:pPr>
            <w:r>
              <w:rPr>
                <w:sz w:val="16"/>
              </w:rPr>
              <w:t>513.4</w:t>
            </w:r>
          </w:p>
        </w:tc>
        <w:tc>
          <w:tcPr>
            <w:tcW w:type="dxa" w:w="340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Сервис отправки микровызовов</w:t>
            </w:r>
          </w:p>
        </w:tc>
        <w:tc>
          <w:tcPr>
            <w:tcW w:type="dxa" w:w="3402"/>
          </w:tcPr>
          <w:p>
            <w:pPr>
              <w:jc w:val="right"/>
            </w:pPr>
            <w:r>
              <w:rPr>
                <w:sz w:val="16"/>
              </w:rPr>
              <w:t>283.3</w:t>
            </w:r>
          </w:p>
        </w:tc>
        <w:tc>
          <w:tcPr>
            <w:tcW w:type="dxa" w:w="340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Техническая поддержка Veritas</w:t>
            </w:r>
          </w:p>
        </w:tc>
        <w:tc>
          <w:tcPr>
            <w:tcW w:type="dxa" w:w="3402"/>
          </w:tcPr>
          <w:p>
            <w:pPr>
              <w:jc w:val="right"/>
            </w:pPr>
            <w:r>
              <w:rPr>
                <w:sz w:val="16"/>
              </w:rPr>
              <w:t>257.4</w:t>
            </w:r>
          </w:p>
        </w:tc>
        <w:tc>
          <w:tcPr>
            <w:tcW w:type="dxa" w:w="340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SUS подписка vEPC проект</w:t>
            </w:r>
          </w:p>
        </w:tc>
        <w:tc>
          <w:tcPr>
            <w:tcW w:type="dxa" w:w="3402"/>
          </w:tcPr>
          <w:p>
            <w:pPr>
              <w:jc w:val="right"/>
            </w:pPr>
            <w:r>
              <w:rPr>
                <w:sz w:val="16"/>
              </w:rPr>
              <w:t>150.4</w:t>
            </w:r>
          </w:p>
        </w:tc>
        <w:tc>
          <w:tcPr>
            <w:tcW w:type="dxa" w:w="340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Техническая поддержка Huawei</w:t>
            </w:r>
          </w:p>
        </w:tc>
        <w:tc>
          <w:tcPr>
            <w:tcW w:type="dxa" w:w="3402"/>
          </w:tcPr>
          <w:p>
            <w:pPr>
              <w:jc w:val="right"/>
            </w:pPr>
            <w:r>
              <w:rPr>
                <w:sz w:val="16"/>
              </w:rPr>
              <w:t>107.3</w:t>
            </w:r>
          </w:p>
        </w:tc>
        <w:tc>
          <w:tcPr>
            <w:tcW w:type="dxa" w:w="340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Steering of Roaming, SMSW, BR</w:t>
            </w:r>
          </w:p>
        </w:tc>
        <w:tc>
          <w:tcPr>
            <w:tcW w:type="dxa" w:w="3402"/>
          </w:tcPr>
          <w:p>
            <w:pPr>
              <w:jc w:val="right"/>
            </w:pPr>
            <w:r>
              <w:rPr>
                <w:sz w:val="16"/>
              </w:rPr>
              <w:t>106.0</w:t>
            </w:r>
          </w:p>
        </w:tc>
        <w:tc>
          <w:tcPr>
            <w:tcW w:type="dxa" w:w="340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Техническая поддержка Dell</w:t>
            </w:r>
          </w:p>
        </w:tc>
        <w:tc>
          <w:tcPr>
            <w:tcW w:type="dxa" w:w="3402"/>
          </w:tcPr>
          <w:p>
            <w:pPr>
              <w:jc w:val="right"/>
            </w:pPr>
            <w:r>
              <w:rPr>
                <w:sz w:val="16"/>
              </w:rPr>
              <w:t>91.5</w:t>
            </w:r>
          </w:p>
        </w:tc>
        <w:tc>
          <w:tcPr>
            <w:tcW w:type="dxa" w:w="340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расходы на лицензии по vPBX (за фактически созданные активные учетные записи «эккаунты» внутри Домена с лицензией категория Базовая)</w:t>
            </w:r>
          </w:p>
        </w:tc>
        <w:tc>
          <w:tcPr>
            <w:tcW w:type="dxa" w:w="3402"/>
          </w:tcPr>
          <w:p>
            <w:pPr>
              <w:jc w:val="right"/>
            </w:pPr>
            <w:r>
              <w:rPr>
                <w:sz w:val="16"/>
              </w:rPr>
              <w:t>81.6</w:t>
            </w:r>
          </w:p>
        </w:tc>
        <w:tc>
          <w:tcPr>
            <w:tcW w:type="dxa" w:w="340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Техническая поддержка HP</w:t>
            </w:r>
          </w:p>
        </w:tc>
        <w:tc>
          <w:tcPr>
            <w:tcW w:type="dxa" w:w="3402"/>
          </w:tcPr>
          <w:p>
            <w:pPr>
              <w:jc w:val="right"/>
            </w:pPr>
            <w:r>
              <w:rPr>
                <w:sz w:val="16"/>
              </w:rPr>
              <w:t>68.5</w:t>
            </w:r>
          </w:p>
        </w:tc>
        <w:tc>
          <w:tcPr>
            <w:tcW w:type="dxa" w:w="340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Серверные лицензии MS EA / 3 транш / G&amp;A</w:t>
            </w:r>
          </w:p>
        </w:tc>
        <w:tc>
          <w:tcPr>
            <w:tcW w:type="dxa" w:w="3402"/>
          </w:tcPr>
          <w:p>
            <w:pPr>
              <w:jc w:val="right"/>
            </w:pPr>
            <w:r>
              <w:rPr>
                <w:sz w:val="16"/>
              </w:rPr>
              <w:t>44.5</w:t>
            </w:r>
          </w:p>
        </w:tc>
        <w:tc>
          <w:tcPr>
            <w:tcW w:type="dxa" w:w="340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402"/>
            <w:shd w:fill="EEF4FB"/>
          </w:tcPr>
          <w:p>
            <w:r>
              <w:rPr>
                <w:b/>
              </w:rPr>
              <w:t>Итого: 12 шт.</w:t>
            </w:r>
          </w:p>
        </w:tc>
        <w:tc>
          <w:tcPr>
            <w:tcW w:type="dxa" w:w="3402"/>
            <w:shd w:fill="EEF4FB"/>
          </w:tcPr>
          <w:p>
            <w:pPr>
              <w:jc w:val="right"/>
            </w:pPr>
            <w:r>
              <w:rPr>
                <w:b/>
                <w:sz w:val="16"/>
              </w:rPr>
              <w:t>3,391.2</w:t>
            </w:r>
          </w:p>
        </w:tc>
        <w:tc>
          <w:tcPr>
            <w:tcW w:type="dxa" w:w="3402"/>
            <w:shd w:fill="EEF4FB"/>
          </w:tcPr>
          <w:p/>
        </w:tc>
      </w:tr>
    </w:tbl>
    <w:p>
      <w:pPr>
        <w:spacing w:before="120" w:after="80"/>
      </w:pPr>
      <w:r>
        <w:rPr>
          <w:rFonts w:ascii="Segoe UI" w:hAnsi="Segoe UI"/>
          <w:b/>
          <w:color w:val="1B4F72"/>
          <w:sz w:val="22"/>
        </w:rPr>
        <w:t>Исчезли в 2025 (были в 2024): 28 шт.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  <w:shd w:fill="F0F4F8"/>
          </w:tcPr>
          <w:p>
            <w:pPr>
              <w:jc w:val="left"/>
            </w:pPr>
            <w:r>
              <w:rPr>
                <w:rFonts w:ascii="Segoe UI" w:hAnsi="Segoe UI"/>
                <w:b/>
                <w:color w:val="8899A6"/>
                <w:sz w:val="16"/>
              </w:rPr>
              <w:t>Позиция</w:t>
            </w:r>
          </w:p>
        </w:tc>
        <w:tc>
          <w:tcPr>
            <w:tcW w:type="dxa" w:w="3402"/>
            <w:shd w:fill="F0F4F8"/>
          </w:tcPr>
          <w:p>
            <w:pPr>
              <w:jc w:val="right"/>
            </w:pPr>
            <w:r>
              <w:rPr>
                <w:rFonts w:ascii="Segoe UI" w:hAnsi="Segoe UI"/>
                <w:b/>
                <w:color w:val="8899A6"/>
                <w:sz w:val="16"/>
              </w:rPr>
              <w:t>y2024, млн тг</w:t>
            </w:r>
          </w:p>
        </w:tc>
        <w:tc>
          <w:tcPr>
            <w:tcW w:type="dxa" w:w="3402"/>
            <w:shd w:fill="F0F4F8"/>
          </w:tcPr>
          <w:p>
            <w:pPr>
              <w:jc w:val="left"/>
            </w:pPr>
            <w:r>
              <w:rPr>
                <w:rFonts w:ascii="Segoe UI" w:hAnsi="Segoe UI"/>
                <w:b/>
                <w:color w:val="8899A6"/>
                <w:sz w:val="16"/>
              </w:rPr>
              <w:t>Коммент</w:t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FLM Expenses</w:t>
            </w:r>
          </w:p>
        </w:tc>
        <w:tc>
          <w:tcPr>
            <w:tcW w:type="dxa" w:w="3402"/>
          </w:tcPr>
          <w:p>
            <w:pPr>
              <w:jc w:val="right"/>
            </w:pPr>
            <w:r>
              <w:rPr>
                <w:sz w:val="16"/>
              </w:rPr>
              <w:t>3,481.0</w:t>
            </w:r>
          </w:p>
        </w:tc>
        <w:tc>
          <w:tcPr>
            <w:tcW w:type="dxa" w:w="340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Прочие</w:t>
            </w:r>
          </w:p>
        </w:tc>
        <w:tc>
          <w:tcPr>
            <w:tcW w:type="dxa" w:w="3402"/>
          </w:tcPr>
          <w:p>
            <w:pPr>
              <w:jc w:val="right"/>
            </w:pPr>
            <w:r>
              <w:rPr>
                <w:sz w:val="16"/>
              </w:rPr>
              <w:t>500.8</w:t>
            </w:r>
          </w:p>
        </w:tc>
        <w:tc>
          <w:tcPr>
            <w:tcW w:type="dxa" w:w="340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Video Conference System (Cisco) Technical support for 36 months</w:t>
            </w:r>
          </w:p>
        </w:tc>
        <w:tc>
          <w:tcPr>
            <w:tcW w:type="dxa" w:w="3402"/>
          </w:tcPr>
          <w:p>
            <w:pPr>
              <w:jc w:val="right"/>
            </w:pPr>
            <w:r>
              <w:rPr>
                <w:sz w:val="16"/>
              </w:rPr>
              <w:t>446.7</w:t>
            </w:r>
          </w:p>
        </w:tc>
        <w:tc>
          <w:tcPr>
            <w:tcW w:type="dxa" w:w="340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Veritas</w:t>
            </w:r>
          </w:p>
        </w:tc>
        <w:tc>
          <w:tcPr>
            <w:tcW w:type="dxa" w:w="3402"/>
          </w:tcPr>
          <w:p>
            <w:pPr>
              <w:jc w:val="right"/>
            </w:pPr>
            <w:r>
              <w:rPr>
                <w:sz w:val="16"/>
              </w:rPr>
              <w:t>132.2</w:t>
            </w:r>
          </w:p>
        </w:tc>
        <w:tc>
          <w:tcPr>
            <w:tcW w:type="dxa" w:w="340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Huawei technical support (ост-гарантийное оказание услуг)</w:t>
            </w:r>
          </w:p>
        </w:tc>
        <w:tc>
          <w:tcPr>
            <w:tcW w:type="dxa" w:w="3402"/>
          </w:tcPr>
          <w:p>
            <w:pPr>
              <w:jc w:val="right"/>
            </w:pPr>
            <w:r>
              <w:rPr>
                <w:sz w:val="16"/>
              </w:rPr>
              <w:t>84.3</w:t>
            </w:r>
          </w:p>
        </w:tc>
        <w:tc>
          <w:tcPr>
            <w:tcW w:type="dxa" w:w="340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System SUPPORT of ZTE</w:t>
            </w:r>
          </w:p>
        </w:tc>
        <w:tc>
          <w:tcPr>
            <w:tcW w:type="dxa" w:w="3402"/>
          </w:tcPr>
          <w:p>
            <w:pPr>
              <w:jc w:val="right"/>
            </w:pPr>
            <w:r>
              <w:rPr>
                <w:sz w:val="16"/>
              </w:rPr>
              <w:t>80.3</w:t>
            </w:r>
          </w:p>
        </w:tc>
        <w:tc>
          <w:tcPr>
            <w:tcW w:type="dxa" w:w="340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Услуги технической поддержки HP</w:t>
            </w:r>
          </w:p>
        </w:tc>
        <w:tc>
          <w:tcPr>
            <w:tcW w:type="dxa" w:w="3402"/>
          </w:tcPr>
          <w:p>
            <w:pPr>
              <w:jc w:val="right"/>
            </w:pPr>
            <w:r>
              <w:rPr>
                <w:sz w:val="16"/>
              </w:rPr>
              <w:t>76.9</w:t>
            </w:r>
          </w:p>
        </w:tc>
        <w:tc>
          <w:tcPr>
            <w:tcW w:type="dxa" w:w="340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Техническая поддержка Huawei</w:t>
            </w:r>
          </w:p>
        </w:tc>
        <w:tc>
          <w:tcPr>
            <w:tcW w:type="dxa" w:w="3402"/>
          </w:tcPr>
          <w:p>
            <w:pPr>
              <w:jc w:val="right"/>
            </w:pPr>
            <w:r>
              <w:rPr>
                <w:sz w:val="16"/>
              </w:rPr>
              <w:t>76.4</w:t>
            </w:r>
          </w:p>
        </w:tc>
        <w:tc>
          <w:tcPr>
            <w:tcW w:type="dxa" w:w="340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G-cloud</w:t>
            </w:r>
          </w:p>
        </w:tc>
        <w:tc>
          <w:tcPr>
            <w:tcW w:type="dxa" w:w="3402"/>
          </w:tcPr>
          <w:p>
            <w:pPr>
              <w:jc w:val="right"/>
            </w:pPr>
            <w:r>
              <w:rPr>
                <w:sz w:val="16"/>
              </w:rPr>
              <w:t>73.4</w:t>
            </w:r>
          </w:p>
        </w:tc>
        <w:tc>
          <w:tcPr>
            <w:tcW w:type="dxa" w:w="340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РемонтФА3гр-КомпьютерыПереферийноеОборудование, тех.поддержка Dell</w:t>
            </w:r>
          </w:p>
        </w:tc>
        <w:tc>
          <w:tcPr>
            <w:tcW w:type="dxa" w:w="3402"/>
          </w:tcPr>
          <w:p>
            <w:pPr>
              <w:jc w:val="right"/>
            </w:pPr>
            <w:r>
              <w:rPr>
                <w:sz w:val="16"/>
              </w:rPr>
              <w:t>69.5</w:t>
            </w:r>
          </w:p>
        </w:tc>
        <w:tc>
          <w:tcPr>
            <w:tcW w:type="dxa" w:w="340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Различные лицензии для сотрудников</w:t>
            </w:r>
          </w:p>
        </w:tc>
        <w:tc>
          <w:tcPr>
            <w:tcW w:type="dxa" w:w="3402"/>
          </w:tcPr>
          <w:p>
            <w:pPr>
              <w:jc w:val="right"/>
            </w:pPr>
            <w:r>
              <w:rPr>
                <w:sz w:val="16"/>
              </w:rPr>
              <w:t>59.7</w:t>
            </w:r>
          </w:p>
        </w:tc>
        <w:tc>
          <w:tcPr>
            <w:tcW w:type="dxa" w:w="340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Maintenance and technical support FOCL(ВОЛС)</w:t>
            </w:r>
          </w:p>
        </w:tc>
        <w:tc>
          <w:tcPr>
            <w:tcW w:type="dxa" w:w="3402"/>
          </w:tcPr>
          <w:p>
            <w:pPr>
              <w:jc w:val="right"/>
            </w:pPr>
            <w:r>
              <w:rPr>
                <w:sz w:val="16"/>
              </w:rPr>
              <w:t>55.1</w:t>
            </w:r>
          </w:p>
        </w:tc>
        <w:tc>
          <w:tcPr>
            <w:tcW w:type="dxa" w:w="340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402"/>
            <w:shd w:fill="EEF4FB"/>
          </w:tcPr>
          <w:p>
            <w:r>
              <w:rPr>
                <w:b/>
              </w:rPr>
              <w:t>Итого: 12 шт.</w:t>
            </w:r>
          </w:p>
        </w:tc>
        <w:tc>
          <w:tcPr>
            <w:tcW w:type="dxa" w:w="3402"/>
            <w:shd w:fill="EEF4FB"/>
          </w:tcPr>
          <w:p>
            <w:pPr>
              <w:jc w:val="right"/>
            </w:pPr>
            <w:r>
              <w:rPr>
                <w:b/>
                <w:sz w:val="16"/>
              </w:rPr>
              <w:t>5,136.2</w:t>
            </w:r>
          </w:p>
        </w:tc>
        <w:tc>
          <w:tcPr>
            <w:tcW w:type="dxa" w:w="3402"/>
            <w:shd w:fill="EEF4FB"/>
          </w:tcPr>
          <w:p/>
        </w:tc>
      </w:tr>
    </w:tbl>
    <w:p>
      <w:pPr>
        <w:spacing w:before="80"/>
      </w:pPr>
      <w:r>
        <w:rPr>
          <w:rFonts w:ascii="Segoe UI" w:hAnsi="Segoe UI"/>
          <w:color w:val="78716C"/>
          <w:sz w:val="18"/>
        </w:rPr>
        <w:t>Пришло 3.64 млрд тг, ушло 5.65 млрд тг. Чистая смена номенклатуры: -2.01 млрд тг — это механика спада 2025.</w:t>
      </w:r>
    </w:p>
    <w:p/>
    <w:p>
      <w:pPr>
        <w:spacing w:before="200"/>
      </w:pPr>
      <w:r>
        <w:rPr>
          <w:rFonts w:ascii="Segoe UI" w:hAnsi="Segoe UI"/>
          <w:b/>
          <w:color w:val="0D1B2A"/>
          <w:sz w:val="28"/>
        </w:rPr>
        <w:t>5. Рекомендации</w:t>
      </w:r>
    </w:p>
    <w:p>
      <w:pPr>
        <w:spacing w:after="80"/>
      </w:pPr>
      <w:r>
        <w:rPr>
          <w:rFonts w:ascii="Segoe UI" w:hAnsi="Segoe UI"/>
          <w:b/>
          <w:color w:val="0D1B2A"/>
          <w:sz w:val="21"/>
        </w:rPr>
        <w:t xml:space="preserve">   Приоритет 1 — сверить периметры 1пг 2026.</w:t>
      </w:r>
    </w:p>
    <w:p>
      <w:pPr>
        <w:spacing w:after="200"/>
        <w:ind w:left="425"/>
      </w:pPr>
      <w:r>
        <w:rPr>
          <w:rFonts w:ascii="Segoe UI" w:hAnsi="Segoe UI"/>
          <w:color w:val="78716C"/>
          <w:sz w:val="19"/>
        </w:rPr>
        <w:t>MS EA (базовая строка 630 млн = как за весь 2025), Oracle HW (376 млн, новая), Ericsson «общий новый договор» (827 млн, объединение CS part + 5G part).</w:t>
      </w:r>
    </w:p>
    <w:p>
      <w:pPr>
        <w:spacing w:after="80"/>
      </w:pPr>
      <w:r>
        <w:rPr>
          <w:rFonts w:ascii="Segoe UI" w:hAnsi="Segoe UI"/>
          <w:b/>
          <w:color w:val="0D1B2A"/>
          <w:sz w:val="21"/>
        </w:rPr>
        <w:t xml:space="preserve">   Приоритет 2 — консолидация Ericsson.</w:t>
      </w:r>
    </w:p>
    <w:p>
      <w:pPr>
        <w:spacing w:after="200"/>
        <w:ind w:left="425"/>
      </w:pPr>
      <w:r>
        <w:rPr>
          <w:rFonts w:ascii="Segoe UI" w:hAnsi="Segoe UI"/>
          <w:color w:val="78716C"/>
          <w:sz w:val="19"/>
        </w:rPr>
        <w:t>Объединение в один договор уже сделано в 2026. Следующий шаг — переход на гибридную модель (P1 + RMA за вендора, P2/P3 силами КТ).</w:t>
      </w:r>
    </w:p>
    <w:p>
      <w:pPr>
        <w:spacing w:after="80"/>
      </w:pPr>
      <w:r>
        <w:rPr>
          <w:rFonts w:ascii="Segoe UI" w:hAnsi="Segoe UI"/>
          <w:b/>
          <w:color w:val="0D1B2A"/>
          <w:sz w:val="21"/>
        </w:rPr>
        <w:t xml:space="preserve">   Приоритет 3 — проверить FLM.</w:t>
      </w:r>
    </w:p>
    <w:p>
      <w:pPr>
        <w:spacing w:after="200"/>
        <w:ind w:left="425"/>
      </w:pPr>
      <w:r>
        <w:rPr>
          <w:rFonts w:ascii="Segoe UI" w:hAnsi="Segoe UI"/>
          <w:color w:val="78716C"/>
          <w:sz w:val="19"/>
        </w:rPr>
        <w:t>+35,1 % к темпу 2025. 2 184 млн тг за 1пг 2026. Если рост продолжается — пересмотреть условия.</w:t>
      </w:r>
    </w:p>
    <w:p>
      <w:pPr>
        <w:spacing w:after="80"/>
      </w:pPr>
      <w:r>
        <w:rPr>
          <w:rFonts w:ascii="Segoe UI" w:hAnsi="Segoe UI"/>
          <w:b/>
          <w:color w:val="0D1B2A"/>
          <w:sz w:val="21"/>
        </w:rPr>
        <w:t xml:space="preserve">   Приоритет 4 — зафиксировать сокращения.</w:t>
      </w:r>
    </w:p>
    <w:p>
      <w:pPr>
        <w:spacing w:after="200"/>
        <w:ind w:left="425"/>
      </w:pPr>
      <w:r>
        <w:rPr>
          <w:rFonts w:ascii="Segoe UI" w:hAnsi="Segoe UI"/>
          <w:color w:val="78716C"/>
          <w:sz w:val="19"/>
        </w:rPr>
        <w:t>CORM-Ронекс −26,9 млн, Aitu Passport −21,9 млн, Nexign −68 млн (к темпу 2025). Заложить в план 2027.</w:t>
      </w:r>
    </w:p>
    <w:p>
      <w:pPr>
        <w:spacing w:after="80"/>
      </w:pPr>
      <w:r>
        <w:rPr>
          <w:rFonts w:ascii="Segoe UI" w:hAnsi="Segoe UI"/>
          <w:b/>
          <w:color w:val="0D1B2A"/>
          <w:sz w:val="21"/>
        </w:rPr>
        <w:t xml:space="preserve">   Приоритет 5 — реестр статусов.</w:t>
      </w:r>
    </w:p>
    <w:p>
      <w:pPr>
        <w:spacing w:after="200"/>
        <w:ind w:left="425"/>
      </w:pPr>
      <w:r>
        <w:rPr>
          <w:rFonts w:ascii="Segoe UI" w:hAnsi="Segoe UI"/>
          <w:color w:val="78716C"/>
          <w:sz w:val="19"/>
        </w:rPr>
        <w:t>К каждой статье: «прямой / посредник / дистрибьютор», «готов к инсорсингу / нужен вендор», P1/RMA за период.</w:t>
      </w:r>
    </w:p>
    <w:p/>
    <w:p>
      <w:pPr>
        <w:spacing w:before="200"/>
      </w:pPr>
      <w:r>
        <w:rPr>
          <w:rFonts w:ascii="Segoe UI" w:hAnsi="Segoe UI"/>
          <w:b/>
          <w:color w:val="0D1B2A"/>
          <w:sz w:val="28"/>
        </w:rPr>
        <w:t>6. Итог</w:t>
      </w:r>
    </w:p>
    <w:p>
      <w:pPr>
        <w:spacing w:after="120"/>
      </w:pPr>
      <w:r>
        <w:rPr>
          <w:rFonts w:ascii="Segoe UI" w:hAnsi="Segoe UI"/>
          <w:b/>
          <w:color w:val="1B4F72"/>
          <w:sz w:val="40"/>
        </w:rPr>
        <w:t>−2.48 млрд тг (-22.9 %) к 2025</w:t>
      </w:r>
    </w:p>
    <w:p>
      <w:pPr>
        <w:pStyle w:val="ListBullet"/>
        <w:spacing w:after="120"/>
      </w:pPr>
      <w:r>
        <w:rPr>
          <w:rFonts w:ascii="Segoe UI" w:hAnsi="Segoe UI"/>
          <w:color w:val="0C0A09"/>
          <w:sz w:val="21"/>
        </w:rPr>
        <w:t>Падение 2025 — не экономия, а смена номенклатуры (FLM Expenses → FLM, Ericsson part → общий договор, MS EA COGS/G&amp;A).</w:t>
      </w:r>
    </w:p>
    <w:p>
      <w:pPr>
        <w:pStyle w:val="ListBullet"/>
        <w:spacing w:after="120"/>
      </w:pPr>
      <w:r>
        <w:rPr>
          <w:rFonts w:ascii="Segoe UI" w:hAnsi="Segoe UI"/>
          <w:color w:val="0C0A09"/>
          <w:sz w:val="21"/>
        </w:rPr>
        <w:t>1пг 2026 показывает рост +1,3 % к темпу 2025: драйверы — MS EA +15,7 млн, Checkpoint +64,9 млн.</w:t>
      </w:r>
    </w:p>
    <w:p>
      <w:pPr>
        <w:pStyle w:val="ListBullet"/>
        <w:spacing w:after="120"/>
      </w:pPr>
      <w:r>
        <w:rPr>
          <w:rFonts w:ascii="Segoe UI" w:hAnsi="Segoe UI"/>
          <w:color w:val="0C0A09"/>
          <w:sz w:val="21"/>
        </w:rPr>
        <w:t>Главный риск 2027 — MS EA: 630 млн за 1пг 2026 = как за весь 2025. При сохранении темпа год ≈ +100 %. Следующий шаг — сверить периметры договоров и зафиксировать реестр статусов (прямой / посредник, инсорсинг / вендор).</w:t>
      </w:r>
    </w:p>
    <w:p/>
    <w:p>
      <w:r>
        <w:rPr>
          <w:rFonts w:ascii="Segoe UI" w:hAnsi="Segoe UI"/>
          <w:i/>
          <w:color w:val="8899A6"/>
          <w:sz w:val="16"/>
        </w:rPr>
        <w:t>Источник: «Расходы по сервисным контрактам.xlsx», факт. Детали: Excel-отчёт (6 листов) и презентация Power Point.</w:t>
      </w:r>
    </w:p>
    <w:sectPr w:rsidR="00FC693F" w:rsidRPr="0006063C" w:rsidSect="00034616">
      <w:pgSz w:w="11906" w:h="16838"/>
      <w:pgMar w:top="102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